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江西省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  <w:highlight w:val="none"/>
          <w:lang w:eastAsia="zh-CN"/>
        </w:rPr>
        <w:t>202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  <w:highlight w:val="none"/>
        </w:rPr>
        <w:t>年度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考试录用公务员专业条件设置指导目录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  <w:lang w:eastAsia="zh-CN"/>
        </w:rPr>
        <w:t>（摘录）</w:t>
      </w:r>
    </w:p>
    <w:p>
      <w:pPr>
        <w:rPr>
          <w:rFonts w:hint="default" w:ascii="Times New Roman" w:hAnsi="Times New Roman" w:cs="Times New Roman"/>
          <w:color w:val="000000"/>
          <w:sz w:val="18"/>
          <w:szCs w:val="18"/>
        </w:rPr>
      </w:pPr>
    </w:p>
    <w:p>
      <w:pPr>
        <w:rPr>
          <w:rFonts w:hint="default" w:ascii="Times New Roman" w:hAnsi="Times New Roman" w:cs="Times New Roman"/>
          <w:color w:val="00000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说明：</w:t>
      </w:r>
    </w:p>
    <w:p>
      <w:pPr>
        <w:rPr>
          <w:rFonts w:hint="default" w:ascii="Times New Roman" w:hAnsi="Times New Roman" w:cs="Times New Roman"/>
          <w:color w:val="00000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一、本目录中的专业来源于教育部制定的研究生、本科和专科专业目录，并参考了江西省各主要高校近年来专业设置以及调整情况。</w:t>
      </w:r>
    </w:p>
    <w:p>
      <w:pPr>
        <w:rPr>
          <w:rFonts w:hint="default" w:ascii="Times New Roman" w:hAnsi="Times New Roman" w:cs="Times New Roman"/>
          <w:color w:val="00000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二、本目录中的分类是按照公务员招录职位需求进行归类的，与教育学科分类没有直接对应关系。</w:t>
      </w:r>
    </w:p>
    <w:p>
      <w:pPr>
        <w:rPr>
          <w:rFonts w:hint="default" w:ascii="Times New Roman" w:hAnsi="Times New Roman" w:cs="Times New Roman"/>
          <w:color w:val="00000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三、本目录由省公务员主管部门负责解释。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  <w:tblHeader/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  <w:t>类别</w:t>
            </w:r>
          </w:p>
        </w:tc>
        <w:tc>
          <w:tcPr>
            <w:tcW w:w="129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76" w:hRule="atLeast"/>
          <w:tblHeader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42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  <w:t>研究生专业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  <w:t>本科专业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25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  <w:t>法律类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法学、知识产权、监狱学、知识产权法、国际法、国际经济法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法律、律师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法律文秘、法律事务、书记官、民事执行、行政执行</w:t>
            </w:r>
          </w:p>
          <w:p>
            <w:pPr>
              <w:widowControl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法律、律师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33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  <w:t>会计与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</w:rPr>
              <w:t>审计类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会计（学）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会计硕士、审计硕士</w:t>
            </w:r>
          </w:p>
        </w:tc>
        <w:tc>
          <w:tcPr>
            <w:tcW w:w="4322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会计（学）、审计学、财务管理、财务会计教育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国际会计、国际财务管理、注册会计师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财务管理、财务信息管理、会计（学）、会计电算化、会计与统计核算、会计与审计、审计实务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zI4YTM3NzlmMDdkYWQ5NmE3ZTY4YzYwYzg0OTgifQ=="/>
  </w:docVars>
  <w:rsids>
    <w:rsidRoot w:val="20D34323"/>
    <w:rsid w:val="20D3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2023-10-16T02:12:00Z</dcterms:created>
  <dc:creator>刘樟平</dc:creator>
  <cp:lastModifiedBy>刘樟平</cp:lastModifiedBy>
  <dcterms:modified xsi:type="dcterms:W3CDTF">2023-10-16T02:13:14Z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75AD24AEC2F34E45A6A556339E1AF767_11</vt:lpwstr>
  </property>
</Properties>
</file>